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center"/>
        <w:outlineLvl w:val="0"/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</w:pP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危险废物产生单位信息(20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年第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季度）公开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160" w:line="460" w:lineRule="exact"/>
        <w:ind w:left="0" w:right="0" w:firstLine="0"/>
        <w:jc w:val="right"/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</w:pPr>
      <w:r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  <w:t>单位：吨</w:t>
      </w:r>
    </w:p>
    <w:tbl>
      <w:tblPr>
        <w:tblStyle w:val="2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339"/>
        <w:gridCol w:w="2292"/>
        <w:gridCol w:w="1395"/>
        <w:gridCol w:w="1410"/>
        <w:gridCol w:w="3363"/>
        <w:gridCol w:w="813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企业名称</w:t>
            </w:r>
          </w:p>
        </w:tc>
        <w:tc>
          <w:tcPr>
            <w:tcW w:w="133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主要产品</w:t>
            </w:r>
          </w:p>
        </w:tc>
        <w:tc>
          <w:tcPr>
            <w:tcW w:w="229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危废种类和编号</w:t>
            </w:r>
          </w:p>
        </w:tc>
        <w:tc>
          <w:tcPr>
            <w:tcW w:w="139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实际产生量</w:t>
            </w:r>
          </w:p>
        </w:tc>
        <w:tc>
          <w:tcPr>
            <w:tcW w:w="141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利用处置量</w:t>
            </w:r>
          </w:p>
        </w:tc>
        <w:tc>
          <w:tcPr>
            <w:tcW w:w="33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处置去向</w:t>
            </w:r>
          </w:p>
        </w:tc>
        <w:tc>
          <w:tcPr>
            <w:tcW w:w="81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库存量</w:t>
            </w:r>
          </w:p>
        </w:tc>
        <w:tc>
          <w:tcPr>
            <w:tcW w:w="194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存在的危废问题和整改情况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1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江苏百澄特种钢管制造有限公司</w:t>
            </w:r>
          </w:p>
        </w:tc>
        <w:tc>
          <w:tcPr>
            <w:tcW w:w="133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1.合金钢管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292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槽渣HW336-064-17</w:t>
            </w:r>
          </w:p>
        </w:tc>
        <w:tc>
          <w:tcPr>
            <w:tcW w:w="139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0.036</w:t>
            </w:r>
          </w:p>
        </w:tc>
        <w:tc>
          <w:tcPr>
            <w:tcW w:w="141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0.064</w:t>
            </w:r>
          </w:p>
        </w:tc>
        <w:tc>
          <w:tcPr>
            <w:tcW w:w="3363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3" w:type="dxa"/>
            <w:vMerge w:val="restart"/>
            <w:shd w:val="clear" w:color="000000" w:fill="auto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1、对员工加强危险废物知识培训，提高业务水平。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2、危险废物标签不合规定，重新购买规范化的标签，按规定每袋（桶）悬挂。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292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皂化渣HW336-064-17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0.236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0.0.438</w:t>
            </w:r>
          </w:p>
        </w:tc>
        <w:tc>
          <w:tcPr>
            <w:tcW w:w="3363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292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磷化渣HW336-064-17</w:t>
            </w:r>
          </w:p>
        </w:tc>
        <w:tc>
          <w:tcPr>
            <w:tcW w:w="139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0.272</w:t>
            </w:r>
          </w:p>
        </w:tc>
        <w:tc>
          <w:tcPr>
            <w:tcW w:w="141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0.528</w:t>
            </w:r>
          </w:p>
        </w:tc>
        <w:tc>
          <w:tcPr>
            <w:tcW w:w="3363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tcBorders>
              <w:top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292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污泥HW336-064-17</w:t>
            </w:r>
          </w:p>
        </w:tc>
        <w:tc>
          <w:tcPr>
            <w:tcW w:w="139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77.14</w:t>
            </w:r>
          </w:p>
        </w:tc>
        <w:tc>
          <w:tcPr>
            <w:tcW w:w="141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128.076</w:t>
            </w:r>
          </w:p>
        </w:tc>
        <w:tc>
          <w:tcPr>
            <w:tcW w:w="3363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20.924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292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蒸发结晶盐HW336-064-17</w:t>
            </w:r>
          </w:p>
        </w:tc>
        <w:tc>
          <w:tcPr>
            <w:tcW w:w="139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141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0.072</w:t>
            </w:r>
          </w:p>
        </w:tc>
        <w:tc>
          <w:tcPr>
            <w:tcW w:w="3363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tcBorders>
              <w:top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292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废酸HW900-600-34</w:t>
            </w:r>
          </w:p>
        </w:tc>
        <w:tc>
          <w:tcPr>
            <w:tcW w:w="139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27.2</w:t>
            </w:r>
          </w:p>
        </w:tc>
        <w:tc>
          <w:tcPr>
            <w:tcW w:w="141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27.2</w:t>
            </w:r>
          </w:p>
        </w:tc>
        <w:tc>
          <w:tcPr>
            <w:tcW w:w="336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张家港洁利环保科技有限公司</w:t>
            </w:r>
          </w:p>
        </w:tc>
        <w:tc>
          <w:tcPr>
            <w:tcW w:w="81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0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</w:tbl>
    <w:p/>
    <w:sectPr>
      <w:footnotePr>
        <w:numFmt w:val="decimal"/>
      </w:footnotePr>
      <w:pgSz w:w="16838" w:h="11906" w:orient="landscape"/>
      <w:pgMar w:top="1440" w:right="1701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_GBK">
    <w:altName w:val="微软雅黑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docVars>
    <w:docVar w:name="commondata" w:val="eyJoZGlkIjoiZjRhZTNiYzQ5OTM5NjRhMTdmNmJhNzllMmM0MjJiNmQifQ=="/>
  </w:docVars>
  <w:rsids>
    <w:rsidRoot w:val="00000000"/>
    <w:rsid w:val="059D3EC3"/>
    <w:rsid w:val="0B8F1B81"/>
    <w:rsid w:val="0D4D5ED3"/>
    <w:rsid w:val="2B1B0AC6"/>
    <w:rsid w:val="46801EED"/>
    <w:rsid w:val="50751645"/>
    <w:rsid w:val="51767900"/>
    <w:rsid w:val="51CB0AE7"/>
    <w:rsid w:val="52556403"/>
    <w:rsid w:val="58AF724E"/>
    <w:rsid w:val="7EE13419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15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">
    <w:name w:val="heading 1"/>
    <w:basedOn w:val="1"/>
    <w:next w:val="1"/>
    <w:autoRedefine/>
    <w:qFormat/>
    <w:uiPriority w:val="7"/>
    <w:pPr>
      <w:wordWrap w:val="0"/>
      <w:autoSpaceDE/>
      <w:autoSpaceDN/>
      <w:ind w:firstLine="0"/>
      <w:jc w:val="center"/>
    </w:pPr>
    <w:rPr>
      <w:rFonts w:ascii="方正小标宋_GBK" w:hAnsi="方正小标宋_GBK" w:eastAsia="方正小标宋_GBK"/>
      <w:sz w:val="44"/>
      <w:szCs w:val="44"/>
    </w:rPr>
  </w:style>
  <w:style w:type="paragraph" w:styleId="3">
    <w:name w:val="heading 2"/>
    <w:next w:val="1"/>
    <w:qFormat/>
    <w:uiPriority w:val="8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4">
    <w:name w:val="heading 3"/>
    <w:next w:val="1"/>
    <w:autoRedefine/>
    <w:qFormat/>
    <w:uiPriority w:val="9"/>
    <w:pPr>
      <w:wordWrap w:val="0"/>
      <w:autoSpaceDE/>
      <w:autoSpaceDN/>
      <w:ind w:left="10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5">
    <w:name w:val="heading 4"/>
    <w:next w:val="1"/>
    <w:autoRedefine/>
    <w:qFormat/>
    <w:uiPriority w:val="10"/>
    <w:pPr>
      <w:wordWrap w:val="0"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sz w:val="21"/>
      <w:szCs w:val="21"/>
    </w:rPr>
  </w:style>
  <w:style w:type="paragraph" w:styleId="6">
    <w:name w:val="heading 5"/>
    <w:next w:val="1"/>
    <w:autoRedefine/>
    <w:qFormat/>
    <w:uiPriority w:val="11"/>
    <w:pPr>
      <w:wordWrap w:val="0"/>
      <w:autoSpaceDE/>
      <w:autoSpaceDN/>
      <w:ind w:left="14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7">
    <w:name w:val="heading 6"/>
    <w:next w:val="1"/>
    <w:autoRedefine/>
    <w:qFormat/>
    <w:uiPriority w:val="12"/>
    <w:pPr>
      <w:wordWrap w:val="0"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sz w:val="21"/>
      <w:szCs w:val="21"/>
    </w:rPr>
  </w:style>
  <w:style w:type="paragraph" w:styleId="8">
    <w:name w:val="heading 7"/>
    <w:next w:val="1"/>
    <w:autoRedefine/>
    <w:qFormat/>
    <w:uiPriority w:val="13"/>
    <w:pPr>
      <w:wordWrap w:val="0"/>
      <w:autoSpaceDE/>
      <w:autoSpaceDN/>
      <w:ind w:left="18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9">
    <w:name w:val="heading 8"/>
    <w:next w:val="1"/>
    <w:autoRedefine/>
    <w:qFormat/>
    <w:uiPriority w:val="14"/>
    <w:pPr>
      <w:wordWrap w:val="0"/>
      <w:autoSpaceDE/>
      <w:autoSpaceDN/>
      <w:ind w:left="20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0">
    <w:name w:val="heading 9"/>
    <w:next w:val="1"/>
    <w:autoRedefine/>
    <w:qFormat/>
    <w:uiPriority w:val="15"/>
    <w:pPr>
      <w:wordWrap w:val="0"/>
      <w:autoSpaceDE/>
      <w:autoSpaceDN/>
      <w:ind w:left="22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25">
    <w:name w:val="Default Paragraph Font"/>
    <w:autoRedefine/>
    <w:semiHidden/>
    <w:unhideWhenUsed/>
    <w:qFormat/>
    <w:uiPriority w:val="2"/>
    <w:rPr>
      <w:sz w:val="21"/>
      <w:szCs w:val="21"/>
    </w:rPr>
  </w:style>
  <w:style w:type="table" w:default="1" w:styleId="23">
    <w:name w:val="Normal Table"/>
    <w:autoRedefine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autoRedefine/>
    <w:unhideWhenUsed/>
    <w:qFormat/>
    <w:uiPriority w:val="34"/>
    <w:pPr>
      <w:wordWrap w:val="0"/>
      <w:autoSpaceDE/>
      <w:autoSpaceDN/>
      <w:ind w:left="25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2">
    <w:name w:val="toc 5"/>
    <w:next w:val="1"/>
    <w:autoRedefine/>
    <w:unhideWhenUsed/>
    <w:qFormat/>
    <w:uiPriority w:val="32"/>
    <w:pPr>
      <w:wordWrap w:val="0"/>
      <w:autoSpaceDE/>
      <w:autoSpaceDN/>
      <w:ind w:left="170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3">
    <w:name w:val="toc 3"/>
    <w:next w:val="1"/>
    <w:autoRedefine/>
    <w:unhideWhenUsed/>
    <w:qFormat/>
    <w:uiPriority w:val="30"/>
    <w:pPr>
      <w:wordWrap w:val="0"/>
      <w:autoSpaceDE/>
      <w:autoSpaceDN/>
      <w:ind w:left="8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4">
    <w:name w:val="toc 8"/>
    <w:next w:val="1"/>
    <w:autoRedefine/>
    <w:unhideWhenUsed/>
    <w:qFormat/>
    <w:uiPriority w:val="35"/>
    <w:pPr>
      <w:wordWrap w:val="0"/>
      <w:autoSpaceDE/>
      <w:autoSpaceDN/>
      <w:ind w:left="297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5">
    <w:name w:val="footer"/>
    <w:basedOn w:val="1"/>
    <w:autoRedefine/>
    <w:qFormat/>
    <w:uiPriority w:val="151"/>
    <w:pPr>
      <w:tabs>
        <w:tab w:val="center" w:pos="4153"/>
        <w:tab w:val="right" w:pos="8306"/>
      </w:tabs>
      <w:wordWrap w:val="0"/>
      <w:autoSpaceDE/>
      <w:autoSpaceDN/>
      <w:ind w:firstLine="0"/>
    </w:pPr>
    <w:rPr>
      <w:rFonts w:ascii="宋体" w:hAnsi="宋体" w:eastAsia="宋体"/>
      <w:sz w:val="18"/>
      <w:szCs w:val="18"/>
    </w:rPr>
  </w:style>
  <w:style w:type="paragraph" w:styleId="16">
    <w:name w:val="toc 1"/>
    <w:next w:val="1"/>
    <w:autoRedefine/>
    <w:unhideWhenUsed/>
    <w:qFormat/>
    <w:uiPriority w:val="28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7">
    <w:name w:val="toc 4"/>
    <w:next w:val="1"/>
    <w:autoRedefine/>
    <w:unhideWhenUsed/>
    <w:qFormat/>
    <w:uiPriority w:val="31"/>
    <w:pPr>
      <w:wordWrap w:val="0"/>
      <w:autoSpaceDE/>
      <w:autoSpaceDN/>
      <w:ind w:left="127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8">
    <w:name w:val="Subtitle"/>
    <w:autoRedefine/>
    <w:qFormat/>
    <w:uiPriority w:val="16"/>
    <w:pPr>
      <w:wordWrap w:val="0"/>
      <w:autoSpaceDE/>
      <w:autoSpaceDN/>
      <w:jc w:val="center"/>
    </w:pPr>
    <w:rPr>
      <w:rFonts w:asciiTheme="minorHAnsi" w:hAnsiTheme="minorHAnsi" w:eastAsiaTheme="minorEastAsia" w:cstheme="minorBidi"/>
      <w:sz w:val="24"/>
      <w:szCs w:val="24"/>
    </w:rPr>
  </w:style>
  <w:style w:type="paragraph" w:styleId="19">
    <w:name w:val="toc 6"/>
    <w:next w:val="1"/>
    <w:autoRedefine/>
    <w:unhideWhenUsed/>
    <w:qFormat/>
    <w:uiPriority w:val="33"/>
    <w:pPr>
      <w:wordWrap w:val="0"/>
      <w:autoSpaceDE/>
      <w:autoSpaceDN/>
      <w:ind w:left="212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0">
    <w:name w:val="toc 2"/>
    <w:next w:val="1"/>
    <w:autoRedefine/>
    <w:unhideWhenUsed/>
    <w:qFormat/>
    <w:uiPriority w:val="29"/>
    <w:pPr>
      <w:wordWrap w:val="0"/>
      <w:autoSpaceDE/>
      <w:autoSpaceDN/>
      <w:ind w:left="42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1">
    <w:name w:val="toc 9"/>
    <w:next w:val="1"/>
    <w:autoRedefine/>
    <w:unhideWhenUsed/>
    <w:qFormat/>
    <w:uiPriority w:val="36"/>
    <w:pPr>
      <w:wordWrap w:val="0"/>
      <w:autoSpaceDE/>
      <w:autoSpaceDN/>
      <w:ind w:left="340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2">
    <w:name w:val="Title"/>
    <w:autoRedefine/>
    <w:qFormat/>
    <w:uiPriority w:val="6"/>
    <w:pPr>
      <w:wordWrap w:val="0"/>
      <w:autoSpaceDE/>
      <w:autoSpaceDN/>
      <w:jc w:val="center"/>
    </w:pPr>
    <w:rPr>
      <w:rFonts w:asciiTheme="minorHAnsi" w:hAnsiTheme="minorHAnsi" w:eastAsiaTheme="minorEastAsia" w:cstheme="minorBidi"/>
      <w:b/>
      <w:sz w:val="32"/>
      <w:szCs w:val="32"/>
    </w:rPr>
  </w:style>
  <w:style w:type="table" w:styleId="24">
    <w:name w:val="Table Grid"/>
    <w:basedOn w:val="23"/>
    <w:autoRedefine/>
    <w:qFormat/>
    <w:uiPriority w:val="37"/>
    <w:pPr>
      <w:wordWrap w:val="0"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autoRedefine/>
    <w:qFormat/>
    <w:uiPriority w:val="20"/>
    <w:rPr>
      <w:b/>
      <w:sz w:val="21"/>
      <w:szCs w:val="21"/>
    </w:rPr>
  </w:style>
  <w:style w:type="character" w:styleId="27">
    <w:name w:val="Emphasis"/>
    <w:autoRedefine/>
    <w:qFormat/>
    <w:uiPriority w:val="18"/>
    <w:rPr>
      <w:i/>
      <w:sz w:val="21"/>
      <w:szCs w:val="21"/>
    </w:rPr>
  </w:style>
  <w:style w:type="paragraph" w:styleId="28">
    <w:name w:val="No Spacing"/>
    <w:autoRedefine/>
    <w:qFormat/>
    <w:uiPriority w:val="5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customStyle="1" w:styleId="29">
    <w:name w:val="Subtle Emphasis"/>
    <w:autoRedefine/>
    <w:qFormat/>
    <w:uiPriority w:val="17"/>
    <w:rPr>
      <w:i/>
      <w:color w:val="404040"/>
      <w:sz w:val="21"/>
      <w:szCs w:val="21"/>
    </w:rPr>
  </w:style>
  <w:style w:type="character" w:customStyle="1" w:styleId="30">
    <w:name w:val="Intense Emphasis"/>
    <w:autoRedefine/>
    <w:qFormat/>
    <w:uiPriority w:val="19"/>
    <w:rPr>
      <w:i/>
      <w:color w:val="5B9BD5"/>
      <w:sz w:val="21"/>
      <w:szCs w:val="21"/>
    </w:rPr>
  </w:style>
  <w:style w:type="paragraph" w:styleId="31">
    <w:name w:val="Quote"/>
    <w:autoRedefine/>
    <w:qFormat/>
    <w:uiPriority w:val="21"/>
    <w:pPr>
      <w:wordWrap w:val="0"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sz w:val="21"/>
      <w:szCs w:val="21"/>
    </w:rPr>
  </w:style>
  <w:style w:type="paragraph" w:styleId="32">
    <w:name w:val="Intense Quote"/>
    <w:autoRedefine/>
    <w:qFormat/>
    <w:uiPriority w:val="22"/>
    <w:pPr>
      <w:wordWrap w:val="0"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sz w:val="21"/>
      <w:szCs w:val="21"/>
    </w:rPr>
  </w:style>
  <w:style w:type="character" w:customStyle="1" w:styleId="33">
    <w:name w:val="Subtle Reference"/>
    <w:autoRedefine/>
    <w:qFormat/>
    <w:uiPriority w:val="23"/>
    <w:rPr>
      <w:smallCaps/>
      <w:color w:val="5A5A5A"/>
      <w:sz w:val="21"/>
      <w:szCs w:val="21"/>
    </w:rPr>
  </w:style>
  <w:style w:type="character" w:customStyle="1" w:styleId="34">
    <w:name w:val="Intense Reference"/>
    <w:autoRedefine/>
    <w:qFormat/>
    <w:uiPriority w:val="24"/>
    <w:rPr>
      <w:b/>
      <w:smallCaps/>
      <w:color w:val="5B9BD5"/>
      <w:sz w:val="21"/>
      <w:szCs w:val="21"/>
    </w:rPr>
  </w:style>
  <w:style w:type="character" w:customStyle="1" w:styleId="35">
    <w:name w:val="Book Title"/>
    <w:qFormat/>
    <w:uiPriority w:val="25"/>
    <w:rPr>
      <w:b/>
      <w:i/>
      <w:sz w:val="21"/>
      <w:szCs w:val="21"/>
    </w:rPr>
  </w:style>
  <w:style w:type="paragraph" w:styleId="36">
    <w:name w:val="List Paragraph"/>
    <w:autoRedefine/>
    <w:qFormat/>
    <w:uiPriority w:val="26"/>
    <w:pPr>
      <w:wordWrap w:val="0"/>
      <w:autoSpaceDE/>
      <w:autoSpaceDN/>
      <w:ind w:left="8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customStyle="1" w:styleId="37">
    <w:name w:val="TOC Heading"/>
    <w:autoRedefine/>
    <w:unhideWhenUsed/>
    <w:qFormat/>
    <w:uiPriority w:val="27"/>
    <w:pPr>
      <w:wordWrap w:val="0"/>
      <w:autoSpaceDE/>
      <w:autoSpaceDN/>
      <w:jc w:val="both"/>
    </w:pPr>
    <w:rPr>
      <w:rFonts w:asciiTheme="minorHAnsi" w:hAnsiTheme="minorHAnsi" w:eastAsiaTheme="minorEastAsia" w:cstheme="minorBidi"/>
      <w:color w:val="2E74B5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259</Words>
  <Characters>379</Characters>
  <Lines>0</Lines>
  <Paragraphs>0</Paragraphs>
  <TotalTime>81</TotalTime>
  <ScaleCrop>false</ScaleCrop>
  <LinksUpToDate>false</LinksUpToDate>
  <CharactersWithSpaces>379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2021-10-14T22:40:00Z</dcterms:created>
  <dc:creator>dell</dc:creator>
  <cp:lastModifiedBy>霜人余、水亟</cp:lastModifiedBy>
  <dcterms:modified xsi:type="dcterms:W3CDTF">2024-01-04T04:31:47Z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63611A38B9A9411FAEE47B1BE5693715_13</vt:lpwstr>
  </property>
</Properties>
</file>