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wordWrap w:val="0"/>
        <w:autoSpaceDE/>
        <w:autoSpaceDN/>
        <w:spacing w:before="0" w:after="0" w:line="240" w:lineRule="auto"/>
        <w:ind w:left="0" w:right="0" w:firstLine="0"/>
        <w:jc w:val="center"/>
        <w:outlineLvl w:val="0"/>
        <w:rPr>
          <w:rFonts w:hint="default" w:ascii="Times New Roman" w:hAnsi="Times New Roman" w:eastAsia="Times New Roman"/>
          <w:color w:val="auto"/>
          <w:position w:val="0"/>
          <w:sz w:val="44"/>
          <w:szCs w:val="44"/>
        </w:rPr>
      </w:pPr>
      <w:r>
        <w:rPr>
          <w:rFonts w:hint="default" w:ascii="Times New Roman" w:hAnsi="Times New Roman" w:eastAsia="Times New Roman"/>
          <w:color w:val="auto"/>
          <w:position w:val="0"/>
          <w:sz w:val="44"/>
          <w:szCs w:val="44"/>
        </w:rPr>
        <w:t>危险废物产生单位信息(20</w:t>
      </w:r>
      <w:r>
        <w:rPr>
          <w:rFonts w:hint="eastAsia" w:ascii="Times New Roman" w:hAnsi="Times New Roman" w:eastAsia="宋体"/>
          <w:color w:val="auto"/>
          <w:position w:val="0"/>
          <w:sz w:val="44"/>
          <w:szCs w:val="44"/>
          <w:lang w:val="en-US" w:eastAsia="zh-CN"/>
        </w:rPr>
        <w:t>21</w:t>
      </w:r>
      <w:r>
        <w:rPr>
          <w:rFonts w:hint="default" w:ascii="Times New Roman" w:hAnsi="Times New Roman" w:eastAsia="Times New Roman"/>
          <w:color w:val="auto"/>
          <w:position w:val="0"/>
          <w:sz w:val="44"/>
          <w:szCs w:val="44"/>
        </w:rPr>
        <w:t>年第</w:t>
      </w:r>
      <w:r>
        <w:rPr>
          <w:rFonts w:hint="eastAsia" w:ascii="Times New Roman" w:hAnsi="Times New Roman" w:eastAsia="宋体"/>
          <w:color w:val="auto"/>
          <w:position w:val="0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Times New Roman"/>
          <w:color w:val="auto"/>
          <w:position w:val="0"/>
          <w:sz w:val="44"/>
          <w:szCs w:val="44"/>
        </w:rPr>
        <w:t>季度）公开</w:t>
      </w:r>
    </w:p>
    <w:p>
      <w:pPr>
        <w:pageBreakBefore w:val="0"/>
        <w:numPr>
          <w:ilvl w:val="0"/>
          <w:numId w:val="0"/>
        </w:numPr>
        <w:wordWrap w:val="0"/>
        <w:autoSpaceDE/>
        <w:autoSpaceDN/>
        <w:bidi w:val="0"/>
        <w:snapToGrid/>
        <w:spacing w:before="0" w:after="160" w:line="460" w:lineRule="exact"/>
        <w:ind w:left="0" w:right="0" w:firstLine="0"/>
        <w:jc w:val="right"/>
        <w:rPr>
          <w:rFonts w:hint="default" w:ascii="Times New Roman" w:hAnsi="Times New Roman" w:eastAsia="Times New Roman"/>
          <w:color w:val="auto"/>
          <w:position w:val="0"/>
          <w:sz w:val="21"/>
          <w:szCs w:val="21"/>
          <w:u w:val="none"/>
        </w:rPr>
      </w:pPr>
      <w:r>
        <w:rPr>
          <w:rFonts w:hint="default" w:ascii="Times New Roman" w:hAnsi="Times New Roman" w:eastAsia="Times New Roman"/>
          <w:color w:val="auto"/>
          <w:position w:val="0"/>
          <w:sz w:val="21"/>
          <w:szCs w:val="21"/>
          <w:u w:val="none"/>
        </w:rPr>
        <w:t>单位：吨</w:t>
      </w:r>
    </w:p>
    <w:tbl>
      <w:tblPr>
        <w:tblStyle w:val="24"/>
        <w:tblW w:w="141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339"/>
        <w:gridCol w:w="2190"/>
        <w:gridCol w:w="1335"/>
        <w:gridCol w:w="1305"/>
        <w:gridCol w:w="3630"/>
        <w:gridCol w:w="813"/>
        <w:gridCol w:w="19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企业名称</w:t>
            </w:r>
          </w:p>
        </w:tc>
        <w:tc>
          <w:tcPr>
            <w:tcW w:w="1339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主要产品</w:t>
            </w:r>
          </w:p>
        </w:tc>
        <w:tc>
          <w:tcPr>
            <w:tcW w:w="2190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危废种类和编号</w:t>
            </w:r>
          </w:p>
        </w:tc>
        <w:tc>
          <w:tcPr>
            <w:tcW w:w="1335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实际产生量</w:t>
            </w:r>
          </w:p>
        </w:tc>
        <w:tc>
          <w:tcPr>
            <w:tcW w:w="1305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利用处置量</w:t>
            </w:r>
          </w:p>
        </w:tc>
        <w:tc>
          <w:tcPr>
            <w:tcW w:w="3630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利用处置去向</w:t>
            </w:r>
          </w:p>
        </w:tc>
        <w:tc>
          <w:tcPr>
            <w:tcW w:w="813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库存量</w:t>
            </w:r>
          </w:p>
        </w:tc>
        <w:tc>
          <w:tcPr>
            <w:tcW w:w="1943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30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存在的危废问题和整改情况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19" w:type="dxa"/>
            <w:vMerge w:val="restart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江苏百澄特种钢管制造有限公司</w:t>
            </w:r>
          </w:p>
        </w:tc>
        <w:tc>
          <w:tcPr>
            <w:tcW w:w="1339" w:type="dxa"/>
            <w:vMerge w:val="restart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30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1.合金钢管</w:t>
            </w:r>
          </w:p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30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槽渣HW336-064-17</w:t>
            </w:r>
          </w:p>
        </w:tc>
        <w:tc>
          <w:tcPr>
            <w:tcW w:w="1335" w:type="dxa"/>
            <w:tcBorders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05" w:type="dxa"/>
            <w:tcBorders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0.37</w:t>
            </w:r>
          </w:p>
        </w:tc>
        <w:tc>
          <w:tcPr>
            <w:tcW w:w="3630" w:type="dxa"/>
            <w:tcBorders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江苏锦明再生资源有限公司</w:t>
            </w:r>
          </w:p>
        </w:tc>
        <w:tc>
          <w:tcPr>
            <w:tcW w:w="813" w:type="dxa"/>
            <w:tcBorders>
              <w:bottom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43" w:type="dxa"/>
            <w:vMerge w:val="restart"/>
            <w:shd w:val="clear" w:color="000000" w:fill="auto"/>
            <w:vAlign w:val="top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both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1、对员工加强危险废物知识培训，提高业务水平。</w:t>
            </w:r>
          </w:p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both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2、危险废物标签不合规定，重新购买规范化的标签，按规定每袋（桶）悬挂。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619" w:type="dxa"/>
            <w:vMerge w:val="continue"/>
            <w:shd w:val="clear" w:color="000000" w:fill="auto"/>
            <w:vAlign w:val="center"/>
          </w:tcPr>
          <w:p/>
        </w:tc>
        <w:tc>
          <w:tcPr>
            <w:tcW w:w="1339" w:type="dxa"/>
            <w:vMerge w:val="continue"/>
            <w:shd w:val="clear" w:color="000000" w:fill="auto"/>
            <w:vAlign w:val="center"/>
          </w:tcPr>
          <w:p/>
        </w:tc>
        <w:tc>
          <w:tcPr>
            <w:tcW w:w="2190" w:type="dxa"/>
            <w:tcBorders>
              <w:top w:val="single" w:color="000000" w:sz="4" w:space="0"/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皂化渣HW336-064-17</w:t>
            </w:r>
          </w:p>
        </w:tc>
        <w:tc>
          <w:tcPr>
            <w:tcW w:w="1335" w:type="dxa"/>
            <w:tcBorders>
              <w:top w:val="single" w:color="000000" w:sz="4" w:space="0"/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05" w:type="dxa"/>
            <w:tcBorders>
              <w:top w:val="single" w:color="000000" w:sz="4" w:space="0"/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0.244</w:t>
            </w:r>
          </w:p>
        </w:tc>
        <w:tc>
          <w:tcPr>
            <w:tcW w:w="3630" w:type="dxa"/>
            <w:tcBorders>
              <w:top w:val="single" w:color="000000" w:sz="4" w:space="0"/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江苏锦明再生资源有限公司</w:t>
            </w:r>
          </w:p>
        </w:tc>
        <w:tc>
          <w:tcPr>
            <w:tcW w:w="81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43" w:type="dxa"/>
            <w:vMerge w:val="continue"/>
            <w:shd w:val="clear" w:color="000000" w:fill="auto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619" w:type="dxa"/>
            <w:vMerge w:val="continue"/>
            <w:shd w:val="clear" w:color="000000" w:fill="auto"/>
            <w:vAlign w:val="center"/>
          </w:tcPr>
          <w:p/>
        </w:tc>
        <w:tc>
          <w:tcPr>
            <w:tcW w:w="1339" w:type="dxa"/>
            <w:vMerge w:val="continue"/>
            <w:shd w:val="clear" w:color="000000" w:fill="auto"/>
            <w:vAlign w:val="center"/>
          </w:tcPr>
          <w:p/>
        </w:tc>
        <w:tc>
          <w:tcPr>
            <w:tcW w:w="2190" w:type="dxa"/>
            <w:tcBorders>
              <w:top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磷化渣HW336-064-17</w:t>
            </w:r>
          </w:p>
        </w:tc>
        <w:tc>
          <w:tcPr>
            <w:tcW w:w="1335" w:type="dxa"/>
            <w:tcBorders>
              <w:top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05" w:type="dxa"/>
            <w:tcBorders>
              <w:top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0.288</w:t>
            </w:r>
          </w:p>
        </w:tc>
        <w:tc>
          <w:tcPr>
            <w:tcW w:w="3630" w:type="dxa"/>
            <w:tcBorders>
              <w:top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江苏锦明再生资源有限公司</w:t>
            </w:r>
          </w:p>
        </w:tc>
        <w:tc>
          <w:tcPr>
            <w:tcW w:w="813" w:type="dxa"/>
            <w:tcBorders>
              <w:top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43" w:type="dxa"/>
            <w:vMerge w:val="continue"/>
            <w:shd w:val="clear" w:color="000000" w:fill="auto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619" w:type="dxa"/>
            <w:vMerge w:val="continue"/>
            <w:shd w:val="clear" w:color="000000" w:fill="auto"/>
            <w:vAlign w:val="center"/>
          </w:tcPr>
          <w:p/>
        </w:tc>
        <w:tc>
          <w:tcPr>
            <w:tcW w:w="1339" w:type="dxa"/>
            <w:vMerge w:val="continue"/>
            <w:shd w:val="clear" w:color="000000" w:fill="auto"/>
            <w:vAlign w:val="center"/>
          </w:tcPr>
          <w:p/>
        </w:tc>
        <w:tc>
          <w:tcPr>
            <w:tcW w:w="2190" w:type="dxa"/>
            <w:tcBorders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污泥HW336-064-17</w:t>
            </w:r>
          </w:p>
        </w:tc>
        <w:tc>
          <w:tcPr>
            <w:tcW w:w="1335" w:type="dxa"/>
            <w:tcBorders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100.692</w:t>
            </w:r>
          </w:p>
        </w:tc>
        <w:tc>
          <w:tcPr>
            <w:tcW w:w="1305" w:type="dxa"/>
            <w:tcBorders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119.82</w:t>
            </w:r>
          </w:p>
        </w:tc>
        <w:tc>
          <w:tcPr>
            <w:tcW w:w="3630" w:type="dxa"/>
            <w:tcBorders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江苏锦明再生资源有限公司</w:t>
            </w:r>
          </w:p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江苏开拓者环保科技有限公司</w:t>
            </w:r>
          </w:p>
        </w:tc>
        <w:tc>
          <w:tcPr>
            <w:tcW w:w="813" w:type="dxa"/>
            <w:tcBorders>
              <w:bottom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14.755</w:t>
            </w:r>
          </w:p>
        </w:tc>
        <w:tc>
          <w:tcPr>
            <w:tcW w:w="1943" w:type="dxa"/>
            <w:vMerge w:val="continue"/>
            <w:shd w:val="clear" w:color="000000" w:fill="auto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9" w:type="dxa"/>
            <w:vMerge w:val="continue"/>
            <w:shd w:val="clear" w:color="000000" w:fill="auto"/>
            <w:vAlign w:val="center"/>
          </w:tcPr>
          <w:p/>
        </w:tc>
        <w:tc>
          <w:tcPr>
            <w:tcW w:w="1339" w:type="dxa"/>
            <w:vMerge w:val="continue"/>
            <w:shd w:val="clear" w:color="000000" w:fill="auto"/>
            <w:vAlign w:val="center"/>
          </w:tcPr>
          <w:p/>
        </w:tc>
        <w:tc>
          <w:tcPr>
            <w:tcW w:w="2190" w:type="dxa"/>
            <w:tcBorders>
              <w:top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蒸发结晶盐HW336-064-17</w:t>
            </w:r>
          </w:p>
        </w:tc>
        <w:tc>
          <w:tcPr>
            <w:tcW w:w="1335" w:type="dxa"/>
            <w:tcBorders>
              <w:top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05" w:type="dxa"/>
            <w:tcBorders>
              <w:top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0.05</w:t>
            </w:r>
          </w:p>
        </w:tc>
        <w:tc>
          <w:tcPr>
            <w:tcW w:w="3630" w:type="dxa"/>
            <w:tcBorders>
              <w:top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江苏锦明再生资源有限公司</w:t>
            </w:r>
          </w:p>
        </w:tc>
        <w:tc>
          <w:tcPr>
            <w:tcW w:w="813" w:type="dxa"/>
            <w:tcBorders>
              <w:top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943" w:type="dxa"/>
            <w:vMerge w:val="continue"/>
            <w:shd w:val="clear" w:color="000000" w:fill="auto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vMerge w:val="continue"/>
            <w:shd w:val="clear" w:color="000000" w:fill="auto"/>
            <w:vAlign w:val="center"/>
          </w:tcPr>
          <w:p/>
        </w:tc>
        <w:tc>
          <w:tcPr>
            <w:tcW w:w="1339" w:type="dxa"/>
            <w:vMerge w:val="continue"/>
            <w:shd w:val="clear" w:color="000000" w:fill="auto"/>
            <w:vAlign w:val="center"/>
          </w:tcPr>
          <w:p/>
        </w:tc>
        <w:tc>
          <w:tcPr>
            <w:tcW w:w="2190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废酸HW900-600-34</w:t>
            </w:r>
          </w:p>
        </w:tc>
        <w:tc>
          <w:tcPr>
            <w:tcW w:w="1335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0</w:t>
            </w:r>
          </w:p>
        </w:tc>
        <w:tc>
          <w:tcPr>
            <w:tcW w:w="1305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0</w:t>
            </w:r>
          </w:p>
        </w:tc>
        <w:tc>
          <w:tcPr>
            <w:tcW w:w="3630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江苏锦明再生资源有限公司</w:t>
            </w:r>
          </w:p>
        </w:tc>
        <w:tc>
          <w:tcPr>
            <w:tcW w:w="813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0</w:t>
            </w:r>
          </w:p>
        </w:tc>
        <w:tc>
          <w:tcPr>
            <w:tcW w:w="1943" w:type="dxa"/>
            <w:vMerge w:val="continue"/>
            <w:shd w:val="clear" w:color="000000" w:fill="auto"/>
            <w:vAlign w:val="top"/>
          </w:tcPr>
          <w:p/>
        </w:tc>
      </w:tr>
    </w:tbl>
    <w:p/>
    <w:sectPr>
      <w:footnotePr>
        <w:numFmt w:val="decimal"/>
      </w:footnotePr>
      <w:pgSz w:w="16838" w:h="11906" w:orient="landscape"/>
      <w:pgMar w:top="1440" w:right="1701" w:bottom="1440" w:left="1440" w:header="708" w:footer="708" w:gutter="0"/>
      <w:pgNumType w:fmt="decimal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小标宋_GBK">
    <w:altName w:val="微软雅黑"/>
    <w:panose1 w:val="020F0502020204030204"/>
    <w:charset w:val="00"/>
    <w:family w:val="auto"/>
    <w:pitch w:val="default"/>
    <w:sig w:usb0="00000000" w:usb1="00000000" w:usb2="00000000" w:usb3="00000000" w:csb0="FFFFFF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balanceSingleByteDoubleByteWidth/>
    <w:useFELayout/>
    <w:compatSetting w:name="compatibilityMode" w:uri="http://schemas.microsoft.com/office/word" w:val="15"/>
  </w:compat>
  <w:rsids>
    <w:rsidRoot w:val="00000000"/>
    <w:rsid w:val="0B931D23"/>
    <w:rsid w:val="6F985A48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151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3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autoSpaceDE/>
      <w:autoSpaceDN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2">
    <w:name w:val="heading 1"/>
    <w:basedOn w:val="1"/>
    <w:next w:val="1"/>
    <w:qFormat/>
    <w:uiPriority w:val="7"/>
    <w:pPr>
      <w:wordWrap w:val="0"/>
      <w:autoSpaceDE/>
      <w:autoSpaceDN/>
      <w:ind w:firstLine="0"/>
      <w:jc w:val="center"/>
    </w:pPr>
    <w:rPr>
      <w:rFonts w:ascii="方正小标宋_GBK" w:hAnsi="方正小标宋_GBK" w:eastAsia="方正小标宋_GBK"/>
      <w:sz w:val="44"/>
      <w:szCs w:val="44"/>
    </w:rPr>
  </w:style>
  <w:style w:type="paragraph" w:styleId="3">
    <w:name w:val="heading 2"/>
    <w:next w:val="1"/>
    <w:qFormat/>
    <w:uiPriority w:val="8"/>
    <w:pPr>
      <w:wordWrap w:val="0"/>
      <w:autoSpaceDE/>
      <w:autoSpaceDN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4">
    <w:name w:val="heading 3"/>
    <w:next w:val="1"/>
    <w:qFormat/>
    <w:uiPriority w:val="9"/>
    <w:pPr>
      <w:wordWrap w:val="0"/>
      <w:autoSpaceDE/>
      <w:autoSpaceDN/>
      <w:ind w:left="1000" w:hanging="40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5">
    <w:name w:val="heading 4"/>
    <w:next w:val="1"/>
    <w:qFormat/>
    <w:uiPriority w:val="10"/>
    <w:pPr>
      <w:wordWrap w:val="0"/>
      <w:autoSpaceDE/>
      <w:autoSpaceDN/>
      <w:ind w:left="1200" w:hanging="400"/>
      <w:jc w:val="both"/>
    </w:pPr>
    <w:rPr>
      <w:rFonts w:asciiTheme="minorHAnsi" w:hAnsiTheme="minorHAnsi" w:eastAsiaTheme="minorEastAsia" w:cstheme="minorBidi"/>
      <w:b/>
      <w:sz w:val="21"/>
      <w:szCs w:val="21"/>
    </w:rPr>
  </w:style>
  <w:style w:type="paragraph" w:styleId="6">
    <w:name w:val="heading 5"/>
    <w:next w:val="1"/>
    <w:qFormat/>
    <w:uiPriority w:val="11"/>
    <w:pPr>
      <w:wordWrap w:val="0"/>
      <w:autoSpaceDE/>
      <w:autoSpaceDN/>
      <w:ind w:left="1400" w:hanging="40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7">
    <w:name w:val="heading 6"/>
    <w:next w:val="1"/>
    <w:qFormat/>
    <w:uiPriority w:val="12"/>
    <w:pPr>
      <w:wordWrap w:val="0"/>
      <w:autoSpaceDE/>
      <w:autoSpaceDN/>
      <w:ind w:left="1600" w:hanging="400"/>
      <w:jc w:val="both"/>
    </w:pPr>
    <w:rPr>
      <w:rFonts w:asciiTheme="minorHAnsi" w:hAnsiTheme="minorHAnsi" w:eastAsiaTheme="minorEastAsia" w:cstheme="minorBidi"/>
      <w:b/>
      <w:sz w:val="21"/>
      <w:szCs w:val="21"/>
    </w:rPr>
  </w:style>
  <w:style w:type="paragraph" w:styleId="8">
    <w:name w:val="heading 7"/>
    <w:next w:val="1"/>
    <w:qFormat/>
    <w:uiPriority w:val="13"/>
    <w:pPr>
      <w:wordWrap w:val="0"/>
      <w:autoSpaceDE/>
      <w:autoSpaceDN/>
      <w:ind w:left="1800" w:hanging="40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9">
    <w:name w:val="heading 8"/>
    <w:next w:val="1"/>
    <w:qFormat/>
    <w:uiPriority w:val="14"/>
    <w:pPr>
      <w:wordWrap w:val="0"/>
      <w:autoSpaceDE/>
      <w:autoSpaceDN/>
      <w:ind w:left="2000" w:hanging="40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0">
    <w:name w:val="heading 9"/>
    <w:next w:val="1"/>
    <w:qFormat/>
    <w:uiPriority w:val="15"/>
    <w:pPr>
      <w:wordWrap w:val="0"/>
      <w:autoSpaceDE/>
      <w:autoSpaceDN/>
      <w:ind w:left="2200" w:hanging="400"/>
      <w:jc w:val="both"/>
    </w:pPr>
    <w:rPr>
      <w:rFonts w:asciiTheme="minorHAnsi" w:hAnsiTheme="minorHAnsi" w:eastAsiaTheme="minorEastAsia" w:cstheme="minorBidi"/>
      <w:sz w:val="21"/>
      <w:szCs w:val="21"/>
    </w:rPr>
  </w:style>
  <w:style w:type="character" w:default="1" w:styleId="25">
    <w:name w:val="Default Paragraph Font"/>
    <w:semiHidden/>
    <w:unhideWhenUsed/>
    <w:qFormat/>
    <w:uiPriority w:val="2"/>
    <w:rPr>
      <w:sz w:val="21"/>
      <w:szCs w:val="21"/>
    </w:rPr>
  </w:style>
  <w:style w:type="table" w:default="1" w:styleId="23">
    <w:name w:val="Normal Table"/>
    <w:semiHidden/>
    <w:unhideWhenUsed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wordWrap w:val="0"/>
      <w:autoSpaceDE/>
      <w:autoSpaceDN/>
      <w:ind w:left="2550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2">
    <w:name w:val="toc 5"/>
    <w:next w:val="1"/>
    <w:unhideWhenUsed/>
    <w:qFormat/>
    <w:uiPriority w:val="32"/>
    <w:pPr>
      <w:wordWrap w:val="0"/>
      <w:autoSpaceDE/>
      <w:autoSpaceDN/>
      <w:ind w:left="1700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3">
    <w:name w:val="toc 3"/>
    <w:next w:val="1"/>
    <w:unhideWhenUsed/>
    <w:qFormat/>
    <w:uiPriority w:val="30"/>
    <w:pPr>
      <w:wordWrap w:val="0"/>
      <w:autoSpaceDE/>
      <w:autoSpaceDN/>
      <w:ind w:left="850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4">
    <w:name w:val="toc 8"/>
    <w:next w:val="1"/>
    <w:unhideWhenUsed/>
    <w:qFormat/>
    <w:uiPriority w:val="35"/>
    <w:pPr>
      <w:wordWrap w:val="0"/>
      <w:autoSpaceDE/>
      <w:autoSpaceDN/>
      <w:ind w:left="2975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5">
    <w:name w:val="footer"/>
    <w:basedOn w:val="1"/>
    <w:qFormat/>
    <w:uiPriority w:val="151"/>
    <w:pPr>
      <w:tabs>
        <w:tab w:val="center" w:pos="4153"/>
        <w:tab w:val="right" w:pos="8306"/>
      </w:tabs>
      <w:wordWrap w:val="0"/>
      <w:autoSpaceDE/>
      <w:autoSpaceDN/>
      <w:ind w:firstLine="0"/>
    </w:pPr>
    <w:rPr>
      <w:rFonts w:ascii="宋体" w:hAnsi="宋体" w:eastAsia="宋体"/>
      <w:sz w:val="18"/>
      <w:szCs w:val="18"/>
    </w:rPr>
  </w:style>
  <w:style w:type="paragraph" w:styleId="16">
    <w:name w:val="toc 1"/>
    <w:next w:val="1"/>
    <w:unhideWhenUsed/>
    <w:qFormat/>
    <w:uiPriority w:val="28"/>
    <w:pPr>
      <w:wordWrap w:val="0"/>
      <w:autoSpaceDE/>
      <w:autoSpaceDN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7">
    <w:name w:val="toc 4"/>
    <w:next w:val="1"/>
    <w:unhideWhenUsed/>
    <w:qFormat/>
    <w:uiPriority w:val="31"/>
    <w:pPr>
      <w:wordWrap w:val="0"/>
      <w:autoSpaceDE/>
      <w:autoSpaceDN/>
      <w:ind w:left="1275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8">
    <w:name w:val="Subtitle"/>
    <w:qFormat/>
    <w:uiPriority w:val="16"/>
    <w:pPr>
      <w:wordWrap w:val="0"/>
      <w:autoSpaceDE/>
      <w:autoSpaceDN/>
      <w:jc w:val="center"/>
    </w:pPr>
    <w:rPr>
      <w:rFonts w:asciiTheme="minorHAnsi" w:hAnsiTheme="minorHAnsi" w:eastAsiaTheme="minorEastAsia" w:cstheme="minorBidi"/>
      <w:sz w:val="24"/>
      <w:szCs w:val="24"/>
    </w:rPr>
  </w:style>
  <w:style w:type="paragraph" w:styleId="19">
    <w:name w:val="toc 6"/>
    <w:next w:val="1"/>
    <w:unhideWhenUsed/>
    <w:qFormat/>
    <w:uiPriority w:val="33"/>
    <w:pPr>
      <w:wordWrap w:val="0"/>
      <w:autoSpaceDE/>
      <w:autoSpaceDN/>
      <w:ind w:left="2125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20">
    <w:name w:val="toc 2"/>
    <w:next w:val="1"/>
    <w:unhideWhenUsed/>
    <w:qFormat/>
    <w:uiPriority w:val="29"/>
    <w:pPr>
      <w:wordWrap w:val="0"/>
      <w:autoSpaceDE/>
      <w:autoSpaceDN/>
      <w:ind w:left="425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21">
    <w:name w:val="toc 9"/>
    <w:next w:val="1"/>
    <w:unhideWhenUsed/>
    <w:qFormat/>
    <w:uiPriority w:val="36"/>
    <w:pPr>
      <w:wordWrap w:val="0"/>
      <w:autoSpaceDE/>
      <w:autoSpaceDN/>
      <w:ind w:left="3400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22">
    <w:name w:val="Title"/>
    <w:qFormat/>
    <w:uiPriority w:val="6"/>
    <w:pPr>
      <w:wordWrap w:val="0"/>
      <w:autoSpaceDE/>
      <w:autoSpaceDN/>
      <w:jc w:val="center"/>
    </w:pPr>
    <w:rPr>
      <w:rFonts w:asciiTheme="minorHAnsi" w:hAnsiTheme="minorHAnsi" w:eastAsiaTheme="minorEastAsia" w:cstheme="minorBidi"/>
      <w:b/>
      <w:sz w:val="32"/>
      <w:szCs w:val="32"/>
    </w:rPr>
  </w:style>
  <w:style w:type="table" w:styleId="24">
    <w:name w:val="Table Grid"/>
    <w:basedOn w:val="23"/>
    <w:qFormat/>
    <w:uiPriority w:val="37"/>
    <w:pPr>
      <w:wordWrap w:val="0"/>
      <w:autoSpaceDE/>
      <w:autoSpaceDN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Strong"/>
    <w:qFormat/>
    <w:uiPriority w:val="20"/>
    <w:rPr>
      <w:b/>
      <w:sz w:val="21"/>
      <w:szCs w:val="21"/>
    </w:rPr>
  </w:style>
  <w:style w:type="character" w:styleId="27">
    <w:name w:val="Emphasis"/>
    <w:qFormat/>
    <w:uiPriority w:val="18"/>
    <w:rPr>
      <w:i/>
      <w:sz w:val="21"/>
      <w:szCs w:val="21"/>
    </w:rPr>
  </w:style>
  <w:style w:type="paragraph" w:styleId="28">
    <w:name w:val="No Spacing"/>
    <w:qFormat/>
    <w:uiPriority w:val="5"/>
    <w:pPr>
      <w:wordWrap w:val="0"/>
      <w:autoSpaceDE/>
      <w:autoSpaceDN/>
      <w:jc w:val="both"/>
    </w:pPr>
    <w:rPr>
      <w:rFonts w:asciiTheme="minorHAnsi" w:hAnsiTheme="minorHAnsi" w:eastAsiaTheme="minorEastAsia" w:cstheme="minorBidi"/>
      <w:sz w:val="21"/>
      <w:szCs w:val="21"/>
    </w:rPr>
  </w:style>
  <w:style w:type="character" w:customStyle="1" w:styleId="29">
    <w:name w:val="Subtle Emphasis"/>
    <w:qFormat/>
    <w:uiPriority w:val="17"/>
    <w:rPr>
      <w:i/>
      <w:color w:val="404040"/>
      <w:sz w:val="21"/>
      <w:szCs w:val="21"/>
    </w:rPr>
  </w:style>
  <w:style w:type="character" w:customStyle="1" w:styleId="30">
    <w:name w:val="Intense Emphasis"/>
    <w:qFormat/>
    <w:uiPriority w:val="19"/>
    <w:rPr>
      <w:i/>
      <w:color w:val="5B9BD5"/>
      <w:sz w:val="21"/>
      <w:szCs w:val="21"/>
    </w:rPr>
  </w:style>
  <w:style w:type="paragraph" w:styleId="31">
    <w:name w:val="Quote"/>
    <w:qFormat/>
    <w:uiPriority w:val="21"/>
    <w:pPr>
      <w:wordWrap w:val="0"/>
      <w:autoSpaceDE/>
      <w:autoSpaceDN/>
      <w:ind w:left="864" w:right="864" w:firstLine="0"/>
      <w:jc w:val="center"/>
    </w:pPr>
    <w:rPr>
      <w:rFonts w:asciiTheme="minorHAnsi" w:hAnsiTheme="minorHAnsi" w:eastAsiaTheme="minorEastAsia" w:cstheme="minorBidi"/>
      <w:i/>
      <w:color w:val="404040"/>
      <w:sz w:val="21"/>
      <w:szCs w:val="21"/>
    </w:rPr>
  </w:style>
  <w:style w:type="paragraph" w:styleId="32">
    <w:name w:val="Intense Quote"/>
    <w:qFormat/>
    <w:uiPriority w:val="22"/>
    <w:pPr>
      <w:wordWrap w:val="0"/>
      <w:autoSpaceDE/>
      <w:autoSpaceDN/>
      <w:ind w:left="950" w:right="950" w:firstLine="0"/>
      <w:jc w:val="center"/>
    </w:pPr>
    <w:rPr>
      <w:rFonts w:asciiTheme="minorHAnsi" w:hAnsiTheme="minorHAnsi" w:eastAsiaTheme="minorEastAsia" w:cstheme="minorBidi"/>
      <w:i/>
      <w:color w:val="5B9BD5"/>
      <w:sz w:val="21"/>
      <w:szCs w:val="21"/>
    </w:rPr>
  </w:style>
  <w:style w:type="character" w:customStyle="1" w:styleId="33">
    <w:name w:val="Subtle Reference"/>
    <w:qFormat/>
    <w:uiPriority w:val="23"/>
    <w:rPr>
      <w:smallCaps/>
      <w:color w:val="5A5A5A"/>
      <w:sz w:val="21"/>
      <w:szCs w:val="21"/>
    </w:rPr>
  </w:style>
  <w:style w:type="character" w:customStyle="1" w:styleId="34">
    <w:name w:val="Intense Reference"/>
    <w:qFormat/>
    <w:uiPriority w:val="24"/>
    <w:rPr>
      <w:b/>
      <w:smallCaps/>
      <w:color w:val="5B9BD5"/>
      <w:sz w:val="21"/>
      <w:szCs w:val="21"/>
    </w:rPr>
  </w:style>
  <w:style w:type="character" w:customStyle="1" w:styleId="35">
    <w:name w:val="Book Title"/>
    <w:qFormat/>
    <w:uiPriority w:val="25"/>
    <w:rPr>
      <w:b/>
      <w:i/>
      <w:sz w:val="21"/>
      <w:szCs w:val="21"/>
    </w:rPr>
  </w:style>
  <w:style w:type="paragraph" w:styleId="36">
    <w:name w:val="List Paragraph"/>
    <w:qFormat/>
    <w:uiPriority w:val="26"/>
    <w:pPr>
      <w:wordWrap w:val="0"/>
      <w:autoSpaceDE/>
      <w:autoSpaceDN/>
      <w:ind w:left="850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customStyle="1" w:styleId="37">
    <w:name w:val="TOC Heading"/>
    <w:unhideWhenUsed/>
    <w:qFormat/>
    <w:uiPriority w:val="27"/>
    <w:pPr>
      <w:wordWrap w:val="0"/>
      <w:autoSpaceDE/>
      <w:autoSpaceDN/>
      <w:jc w:val="both"/>
    </w:pPr>
    <w:rPr>
      <w:rFonts w:asciiTheme="minorHAnsi" w:hAnsiTheme="minorHAnsi" w:eastAsiaTheme="minorEastAsia" w:cstheme="minorBidi"/>
      <w:color w:val="2E74B5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0</Characters>
  <Lines>0</Lines>
  <Paragraphs>0</Paragraphs>
  <TotalTime>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2021-10-14T22:35:05Z</dcterms:created>
  <dc:creator>dell</dc:creator>
  <cp:lastModifiedBy>庞文龙</cp:lastModifiedBy>
  <dcterms:modified xsi:type="dcterms:W3CDTF">2021-10-14T22:40:00Z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C76B4DECDE9F49368D5C86DE36750FDE</vt:lpwstr>
  </property>
</Properties>
</file>